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709"/>
        <w:jc w:val="center"/>
        <w:tabs>
          <w:tab w:val="left" w:pos="993" w:leader="none"/>
          <w:tab w:val="left" w:pos="9720" w:leader="none"/>
        </w:tabs>
        <w:rPr>
          <w:rFonts w:ascii="Times New Roman" w:hAnsi="Times New Roman" w:cs="Times New Roman"/>
          <w:b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white"/>
        </w:rPr>
        <w:t xml:space="preserve">СООБЩЕНИЕ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highlight w:val="white"/>
        </w:rPr>
      </w:r>
    </w:p>
    <w:p>
      <w:pPr>
        <w:ind w:left="0" w:right="0" w:firstLine="709"/>
        <w:jc w:val="center"/>
        <w:shd w:val="clear" w:color="auto" w:fill="ffffff"/>
        <w:tabs>
          <w:tab w:val="left" w:pos="993" w:leader="none"/>
          <w:tab w:val="left" w:pos="9720" w:leader="none"/>
        </w:tabs>
        <w:rPr>
          <w:rFonts w:ascii="Times New Roman" w:hAnsi="Times New Roman" w:cs="Times New Roman"/>
          <w:b/>
          <w:color w:val="000000" w:themeColor="text1"/>
          <w:spacing w:val="-6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color w:val="000000" w:themeColor="text1"/>
          <w:spacing w:val="-6"/>
          <w:sz w:val="24"/>
          <w:szCs w:val="24"/>
          <w:highlight w:val="white"/>
        </w:rPr>
        <w:t xml:space="preserve">о проведении годового заседания общего собрания акционеров</w:t>
      </w:r>
      <w:r>
        <w:rPr>
          <w:rFonts w:ascii="Times New Roman" w:hAnsi="Times New Roman" w:cs="Times New Roman"/>
          <w:b/>
          <w:color w:val="000000" w:themeColor="text1"/>
          <w:spacing w:val="-6"/>
          <w:sz w:val="24"/>
          <w:szCs w:val="24"/>
          <w:highlight w:val="white"/>
        </w:rPr>
      </w:r>
      <w:r>
        <w:rPr>
          <w:rFonts w:ascii="Times New Roman" w:hAnsi="Times New Roman" w:cs="Times New Roman"/>
          <w:b/>
          <w:color w:val="000000" w:themeColor="text1"/>
          <w:spacing w:val="-6"/>
          <w:sz w:val="24"/>
          <w:szCs w:val="24"/>
          <w:highlight w:val="white"/>
        </w:rPr>
      </w:r>
    </w:p>
    <w:p>
      <w:pPr>
        <w:ind w:left="0" w:right="0" w:firstLine="709"/>
        <w:jc w:val="center"/>
        <w:shd w:val="clear" w:color="auto" w:fill="ffffff"/>
        <w:tabs>
          <w:tab w:val="left" w:pos="993" w:leader="none"/>
          <w:tab w:val="left" w:pos="8789" w:leader="underscore"/>
        </w:tabs>
        <w:rPr>
          <w:rFonts w:ascii="Times New Roman" w:hAnsi="Times New Roman" w:cs="Times New Roman"/>
          <w:bCs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  <w:highlight w:val="white"/>
        </w:rPr>
        <w:t xml:space="preserve">АО </w:t>
      </w:r>
      <w:r>
        <w:rPr>
          <w:rFonts w:ascii="Times New Roman" w:hAnsi="Times New Roman" w:eastAsia="Times New Roman" w:cs="Times New Roman"/>
          <w:bCs/>
          <w:color w:val="000000" w:themeColor="text1"/>
          <w:spacing w:val="-7"/>
          <w:sz w:val="24"/>
          <w:szCs w:val="24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bCs/>
          <w:iCs/>
          <w:sz w:val="24"/>
          <w:szCs w:val="24"/>
          <w:highlight w:val="white"/>
        </w:rPr>
        <w:t xml:space="preserve">Газпром газораспределение Ижевск</w:t>
      </w:r>
      <w:r>
        <w:rPr>
          <w:rFonts w:ascii="Times New Roman" w:hAnsi="Times New Roman" w:eastAsia="Times New Roman" w:cs="Times New Roman"/>
          <w:bCs/>
          <w:color w:val="000000" w:themeColor="text1"/>
          <w:spacing w:val="-7"/>
          <w:sz w:val="24"/>
          <w:szCs w:val="24"/>
          <w:highlight w:val="white"/>
        </w:rPr>
        <w:t xml:space="preserve">»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highlight w:val="white"/>
        </w:rPr>
      </w:r>
    </w:p>
    <w:p>
      <w:pPr>
        <w:pStyle w:val="660"/>
        <w:ind w:left="0" w:right="0" w:firstLine="709"/>
        <w:spacing w:after="60"/>
        <w:tabs>
          <w:tab w:val="left" w:pos="993" w:leader="none"/>
          <w:tab w:val="left" w:pos="9720" w:leader="none"/>
        </w:tabs>
        <w:rPr>
          <w:rFonts w:ascii="Times New Roman" w:hAnsi="Times New Roman" w:cs="Times New Roman"/>
          <w:color w:val="000000" w:themeColor="text1"/>
          <w:spacing w:val="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Cs w:val="0"/>
          <w:color w:val="000000" w:themeColor="text1"/>
          <w:spacing w:val="0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pacing w:val="0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pacing w:val="0"/>
          <w:sz w:val="24"/>
          <w:szCs w:val="24"/>
          <w:highlight w:val="white"/>
        </w:rPr>
      </w:r>
    </w:p>
    <w:p>
      <w:pPr>
        <w:pStyle w:val="660"/>
        <w:ind w:left="0" w:right="0" w:firstLine="709"/>
        <w:spacing w:after="60"/>
        <w:tabs>
          <w:tab w:val="left" w:pos="993" w:leader="none"/>
          <w:tab w:val="left" w:pos="9720" w:leader="none"/>
        </w:tabs>
        <w:rPr>
          <w:rFonts w:ascii="Times New Roman" w:hAnsi="Times New Roman" w:cs="Times New Roman"/>
          <w:color w:val="000000" w:themeColor="text1"/>
          <w:spacing w:val="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Cs w:val="0"/>
          <w:color w:val="000000" w:themeColor="text1"/>
          <w:spacing w:val="0"/>
          <w:sz w:val="24"/>
          <w:szCs w:val="24"/>
          <w:highlight w:val="white"/>
        </w:rPr>
        <w:t xml:space="preserve">УВАЖАЕМЫЙ АКЦИОНЕР!</w:t>
      </w:r>
      <w:r>
        <w:rPr>
          <w:rFonts w:ascii="Times New Roman" w:hAnsi="Times New Roman" w:cs="Times New Roman"/>
          <w:color w:val="000000" w:themeColor="text1"/>
          <w:spacing w:val="0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pacing w:val="0"/>
          <w:sz w:val="24"/>
          <w:szCs w:val="24"/>
          <w:highlight w:val="white"/>
        </w:rPr>
      </w:r>
    </w:p>
    <w:p>
      <w:pPr>
        <w:ind w:left="0" w:right="0" w:firstLine="709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ind w:left="0" w:right="0" w:firstLine="709"/>
        <w:jc w:val="both"/>
        <w:shd w:val="clear" w:color="auto" w:fill="ffffff"/>
        <w:tabs>
          <w:tab w:val="left" w:pos="993" w:leader="none"/>
          <w:tab w:val="left" w:pos="7253" w:leader="underscore"/>
        </w:tabs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Cs/>
          <w:iCs/>
          <w:color w:val="000000" w:themeColor="text1"/>
          <w:sz w:val="24"/>
          <w:szCs w:val="24"/>
          <w:highlight w:val="white"/>
        </w:rPr>
        <w:t xml:space="preserve">Акционерное общество «</w:t>
      </w:r>
      <w:r>
        <w:rPr>
          <w:rFonts w:ascii="Times New Roman" w:hAnsi="Times New Roman" w:eastAsia="Times New Roman" w:cs="Times New Roman"/>
          <w:bCs/>
          <w:iCs/>
          <w:sz w:val="24"/>
          <w:szCs w:val="24"/>
          <w:highlight w:val="white"/>
        </w:rPr>
        <w:t xml:space="preserve">Газпром газораспределение Ижевск</w:t>
      </w:r>
      <w:r>
        <w:rPr>
          <w:rFonts w:ascii="Times New Roman" w:hAnsi="Times New Roman" w:eastAsia="Times New Roman" w:cs="Times New Roman"/>
          <w:bCs/>
          <w:iCs/>
          <w:color w:val="000000" w:themeColor="text1"/>
          <w:sz w:val="24"/>
          <w:szCs w:val="24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iCs/>
          <w:color w:val="000000" w:themeColor="text1"/>
          <w:sz w:val="24"/>
          <w:szCs w:val="24"/>
          <w:highlight w:val="white"/>
        </w:rPr>
        <w:t xml:space="preserve"> (далее – Общество)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уведомляет Вас о проведении годового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заседания о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4"/>
          <w:szCs w:val="24"/>
          <w:highlight w:val="white"/>
        </w:rPr>
        <w:t xml:space="preserve">бщего собрания акционеров</w:t>
      </w:r>
      <w:r>
        <w:rPr>
          <w:rFonts w:ascii="Times New Roman" w:hAnsi="Times New Roman" w:eastAsia="Times New Roman" w:cs="Times New Roman"/>
          <w:b/>
          <w:color w:val="000000" w:themeColor="text1"/>
          <w:spacing w:val="-2"/>
          <w:sz w:val="24"/>
          <w:szCs w:val="24"/>
          <w:highlight w:val="white"/>
        </w:rPr>
        <w:t xml:space="preserve">.</w:t>
      </w:r>
      <w:r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highlight w:val="white"/>
        </w:rPr>
      </w:r>
      <w:r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highlight w:val="white"/>
        </w:rPr>
      </w:r>
    </w:p>
    <w:p>
      <w:pPr>
        <w:ind w:left="0" w:right="0" w:firstLine="709"/>
        <w:jc w:val="both"/>
        <w:shd w:val="clear" w:color="auto" w:fill="ffffff"/>
        <w:tabs>
          <w:tab w:val="left" w:pos="993" w:leader="none"/>
          <w:tab w:val="left" w:pos="7253" w:leader="underscore"/>
        </w:tabs>
        <w:rPr>
          <w:rFonts w:ascii="Times New Roman" w:hAnsi="Times New Roman" w:cs="Times New Roman"/>
          <w:b/>
          <w:bCs w:val="0"/>
          <w:i w:val="0"/>
          <w:color w:val="000000" w:themeColor="text1"/>
          <w:spacing w:val="-2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pacing w:val="-2"/>
          <w:sz w:val="24"/>
          <w:szCs w:val="24"/>
          <w:highlight w:val="white"/>
        </w:rPr>
        <w:t xml:space="preserve">Способ принятия решений общим собранием акционеров:</w:t>
      </w:r>
      <w:r>
        <w:rPr>
          <w:rFonts w:ascii="Times New Roman" w:hAnsi="Times New Roman" w:eastAsia="Times New Roman" w:cs="Times New Roman"/>
          <w:b/>
          <w:color w:val="000000" w:themeColor="text1"/>
          <w:spacing w:val="-2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 w:themeColor="text1"/>
          <w:spacing w:val="-2"/>
          <w:sz w:val="24"/>
          <w:szCs w:val="24"/>
          <w:highlight w:val="white"/>
        </w:rPr>
        <w:t xml:space="preserve">заседание, совмещенное с заочным голосованием, без возможности дистанционного участия в заседании.</w:t>
      </w:r>
      <w:r>
        <w:rPr>
          <w:rFonts w:ascii="Times New Roman" w:hAnsi="Times New Roman" w:cs="Times New Roman"/>
          <w:b/>
          <w:bCs w:val="0"/>
          <w:i w:val="0"/>
          <w:color w:val="000000" w:themeColor="text1"/>
          <w:spacing w:val="-2"/>
          <w:sz w:val="24"/>
          <w:szCs w:val="24"/>
          <w:highlight w:val="white"/>
        </w:rPr>
      </w:r>
      <w:r>
        <w:rPr>
          <w:rFonts w:ascii="Times New Roman" w:hAnsi="Times New Roman" w:cs="Times New Roman"/>
          <w:b/>
          <w:bCs w:val="0"/>
          <w:i w:val="0"/>
          <w:color w:val="000000" w:themeColor="text1"/>
          <w:spacing w:val="-2"/>
          <w:sz w:val="24"/>
          <w:szCs w:val="24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 w:eastAsiaTheme="minorHAnsi"/>
          <w:bCs/>
          <w:color w:val="000000" w:themeColor="text1"/>
          <w:sz w:val="24"/>
          <w:szCs w:val="24"/>
          <w:highlight w:val="white"/>
          <w:lang w:eastAsia="en-US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Место нахождения Общества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: Российская Федерация, г. Ижевск.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 w:eastAsiaTheme="minorHAnsi"/>
          <w:bCs/>
          <w:color w:val="000000" w:themeColor="text1"/>
          <w:sz w:val="24"/>
          <w:szCs w:val="24"/>
          <w:highlight w:val="white"/>
          <w:lang w:eastAsia="en-US"/>
        </w:rPr>
        <w:t xml:space="preserve">Место проведения годового заседания общего собрания акционеров: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  <w:t xml:space="preserve">Удмуртская Республика, г. Ижевск, ул. Коммунаров, д. 359</w:t>
      </w:r>
      <w:r>
        <w:rPr>
          <w:rFonts w:ascii="Times New Roman" w:hAnsi="Times New Roman" w:eastAsia="Times New Roman" w:cs="Times New Roman" w:eastAsiaTheme="minorHAnsi"/>
          <w:b/>
          <w:bCs/>
          <w:color w:val="000000" w:themeColor="text1"/>
          <w:sz w:val="24"/>
          <w:szCs w:val="24"/>
          <w:highlight w:val="white"/>
          <w:lang w:eastAsia="en-US"/>
        </w:rPr>
        <w:t xml:space="preserve">, </w:t>
      </w:r>
      <w:r>
        <w:rPr>
          <w:rFonts w:ascii="Times New Roman" w:hAnsi="Times New Roman" w:eastAsia="Times New Roman" w:cs="Times New Roman" w:eastAsiaTheme="minorHAnsi"/>
          <w:b/>
          <w:bCs/>
          <w:color w:val="000000" w:themeColor="text1"/>
          <w:sz w:val="24"/>
          <w:szCs w:val="24"/>
          <w:highlight w:val="white"/>
          <w:lang w:eastAsia="en-US"/>
        </w:rPr>
        <w:t xml:space="preserve">3</w:t>
      </w:r>
      <w:r>
        <w:rPr>
          <w:rFonts w:ascii="Times New Roman" w:hAnsi="Times New Roman" w:eastAsia="Times New Roman" w:cs="Times New Roman" w:eastAsiaTheme="minorHAnsi"/>
          <w:b/>
          <w:bCs/>
          <w:color w:val="000000" w:themeColor="text1"/>
          <w:sz w:val="24"/>
          <w:szCs w:val="24"/>
          <w:highlight w:val="white"/>
          <w:lang w:eastAsia="en-US"/>
        </w:rPr>
        <w:t xml:space="preserve"> этаж, конференц-зал.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  <w:highlight w:val="white"/>
        </w:rPr>
        <w:t xml:space="preserve">Дата проведения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  <w:highlight w:val="white"/>
        </w:rPr>
        <w:t xml:space="preserve">годового заседания общего собрания акционеров</w:t>
      </w:r>
      <w:r>
        <w:rPr>
          <w:rFonts w:ascii="Times New Roman" w:hAnsi="Times New Roman" w:eastAsia="Times New Roman" w:cs="Times New Roman" w:eastAsiaTheme="minorHAnsi"/>
          <w:bCs/>
          <w:color w:val="000000" w:themeColor="text1"/>
          <w:sz w:val="24"/>
          <w:szCs w:val="24"/>
          <w:highlight w:val="white"/>
          <w:lang w:eastAsia="en-US"/>
        </w:rPr>
        <w:t xml:space="preserve">:</w:t>
      </w:r>
      <w:r>
        <w:rPr>
          <w:rFonts w:ascii="Times New Roman" w:hAnsi="Times New Roman" w:eastAsia="Times New Roman" w:cs="Times New Roman" w:eastAsiaTheme="minorHAnsi"/>
          <w:b/>
          <w:bCs/>
          <w:color w:val="000000" w:themeColor="text1"/>
          <w:sz w:val="24"/>
          <w:szCs w:val="24"/>
          <w:highlight w:val="white"/>
          <w:lang w:eastAsia="en-US"/>
        </w:rPr>
        <w:t xml:space="preserve"> </w:t>
      </w:r>
      <w:r>
        <w:rPr>
          <w:rFonts w:ascii="Times New Roman" w:hAnsi="Times New Roman" w:eastAsia="Times New Roman" w:cs="Times New Roman" w:eastAsiaTheme="minorHAnsi"/>
          <w:b/>
          <w:bCs/>
          <w:color w:val="000000" w:themeColor="text1"/>
          <w:sz w:val="24"/>
          <w:szCs w:val="24"/>
          <w:highlight w:val="white"/>
          <w:lang w:eastAsia="en-US"/>
        </w:rPr>
        <w:t xml:space="preserve">26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white"/>
        </w:rPr>
        <w:t xml:space="preserve"> июня 2026 года.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 w:eastAsiaTheme="minorHAnsi"/>
          <w:bCs/>
          <w:color w:val="000000" w:themeColor="text1"/>
          <w:sz w:val="24"/>
          <w:szCs w:val="24"/>
          <w:highlight w:val="white"/>
          <w:lang w:eastAsia="en-US"/>
        </w:rPr>
        <w:t xml:space="preserve">Время проведения годового заседания общего собрания акционеров:</w:t>
        <w:br/>
      </w:r>
      <w:r>
        <w:rPr>
          <w:rFonts w:ascii="Times New Roman" w:hAnsi="Times New Roman" w:eastAsia="Times New Roman" w:cs="Times New Roman" w:eastAsiaTheme="minorHAnsi"/>
          <w:b/>
          <w:bCs/>
          <w:color w:val="000000" w:themeColor="text1"/>
          <w:sz w:val="24"/>
          <w:szCs w:val="24"/>
          <w:highlight w:val="white"/>
          <w:lang w:eastAsia="en-US"/>
        </w:rPr>
        <w:t xml:space="preserve">11 часов </w:t>
      </w:r>
      <w:r>
        <w:rPr>
          <w:rFonts w:ascii="Times New Roman" w:hAnsi="Times New Roman" w:eastAsia="Times New Roman" w:cs="Times New Roman" w:eastAsiaTheme="minorHAnsi"/>
          <w:b/>
          <w:bCs/>
          <w:color w:val="000000" w:themeColor="text1"/>
          <w:sz w:val="24"/>
          <w:szCs w:val="24"/>
          <w:highlight w:val="white"/>
          <w:lang w:eastAsia="en-US"/>
        </w:rPr>
        <w:t xml:space="preserve">00 </w:t>
      </w:r>
      <w:r>
        <w:rPr>
          <w:rFonts w:ascii="Times New Roman" w:hAnsi="Times New Roman" w:eastAsia="Times New Roman" w:cs="Times New Roman" w:eastAsiaTheme="minorHAnsi"/>
          <w:b/>
          <w:bCs/>
          <w:color w:val="000000" w:themeColor="text1"/>
          <w:sz w:val="24"/>
          <w:szCs w:val="24"/>
          <w:highlight w:val="white"/>
          <w:lang w:eastAsia="en-US"/>
        </w:rPr>
        <w:t xml:space="preserve">минут.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 w:eastAsiaTheme="minorHAnsi"/>
          <w:bCs/>
          <w:color w:val="000000" w:themeColor="text1"/>
          <w:sz w:val="24"/>
          <w:szCs w:val="24"/>
          <w:highlight w:val="white"/>
          <w:lang w:eastAsia="en-US"/>
        </w:rPr>
        <w:t xml:space="preserve">Время начала регистрации лиц, участвующих в годовом заседании общего собрания акционеров:</w:t>
      </w:r>
      <w:r>
        <w:rPr>
          <w:rFonts w:ascii="Times New Roman" w:hAnsi="Times New Roman" w:eastAsia="Times New Roman" w:cs="Times New Roman" w:eastAsiaTheme="minorHAnsi"/>
          <w:b/>
          <w:bCs/>
          <w:color w:val="000000" w:themeColor="text1"/>
          <w:sz w:val="24"/>
          <w:szCs w:val="24"/>
          <w:highlight w:val="white"/>
          <w:lang w:eastAsia="en-US"/>
        </w:rPr>
        <w:t xml:space="preserve"> 10 часов 00 минут.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</w:r>
    </w:p>
    <w:p>
      <w:pPr>
        <w:ind w:left="0" w:right="0" w:firstLine="709"/>
        <w:jc w:val="both"/>
        <w:tabs>
          <w:tab w:val="left" w:pos="993" w:leader="none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Дата окончания приема бюллетеней для голосования: 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white"/>
        </w:rPr>
        <w:t xml:space="preserve">23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white"/>
        </w:rPr>
        <w:t xml:space="preserve"> июня 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white"/>
        </w:rPr>
        <w:t xml:space="preserve">2026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white"/>
        </w:rPr>
        <w:t xml:space="preserve"> года</w:t>
      </w:r>
      <w:bookmarkStart w:id="0" w:name="_GoBack"/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bookmarkEnd w:id="0"/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white"/>
        </w:rPr>
        <w:t xml:space="preserve">.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 w:eastAsiaTheme="minorHAnsi"/>
          <w:color w:val="000000" w:themeColor="text1"/>
          <w:sz w:val="24"/>
          <w:szCs w:val="24"/>
          <w:highlight w:val="white"/>
          <w:lang w:eastAsia="en-US"/>
        </w:rPr>
        <w:t xml:space="preserve">Почтовый адрес, по которому могут направляться заполненные бюллетени для голосования: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426008, Удмуртская Республика, г. Ижевск, ул. Коммунаров, д. 359</w:t>
      </w:r>
      <w:r>
        <w:rPr>
          <w:rFonts w:ascii="Times New Roman" w:hAnsi="Times New Roman" w:eastAsia="Times New Roman" w:cs="Times New Roman" w:eastAsiaTheme="minorHAnsi"/>
          <w:b/>
          <w:bCs/>
          <w:color w:val="000000" w:themeColor="text1"/>
          <w:sz w:val="24"/>
          <w:szCs w:val="24"/>
          <w:highlight w:val="white"/>
          <w:lang w:eastAsia="en-US"/>
        </w:rPr>
        <w:t xml:space="preserve">.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highlight w:val="white"/>
        </w:rPr>
      </w:r>
    </w:p>
    <w:p>
      <w:pPr>
        <w:ind w:left="0" w:right="0" w:firstLine="709"/>
        <w:jc w:val="both"/>
        <w:tabs>
          <w:tab w:val="left" w:pos="2256" w:leader="none"/>
        </w:tabs>
        <w:rPr>
          <w:rFonts w:ascii="Times New Roman" w:hAnsi="Times New Roman" w:cs="Times New Roman"/>
          <w:bCs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 w:eastAsiaTheme="minorHAnsi"/>
          <w:sz w:val="24"/>
          <w:szCs w:val="24"/>
          <w:highlight w:val="white"/>
          <w:lang w:eastAsia="en-US"/>
        </w:rPr>
        <w:t xml:space="preserve">Способ подписания бюллетеня для голосования: бюллетень подписывается лицом, имеющим право</w:t>
      </w:r>
      <w:r>
        <w:rPr>
          <w:rFonts w:ascii="Times New Roman" w:hAnsi="Times New Roman" w:eastAsia="Times New Roman" w:cs="Times New Roman" w:eastAsiaTheme="minorHAnsi"/>
          <w:sz w:val="24"/>
          <w:szCs w:val="24"/>
          <w:highlight w:val="white"/>
          <w:lang w:eastAsia="en-US"/>
        </w:rPr>
        <w:t xml:space="preserve"> голоса при принятии решений общим собранием акционеров, или его представителем собственноручной подписью; заполнение и направление бюллетеня для голосования в электронной форме с использованием других электронных либо иных технических средств недопустимо.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highlight w:val="white"/>
        </w:rPr>
      </w:r>
    </w:p>
    <w:p>
      <w:pPr>
        <w:ind w:left="0" w:right="0" w:firstLine="709"/>
        <w:jc w:val="both"/>
        <w:tabs>
          <w:tab w:val="left" w:pos="993" w:leader="none"/>
        </w:tabs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Дата, на которую определяются (фиксируются) лица, имеющие право голоса при принятии решений общим собранием акционеров: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white"/>
        </w:rPr>
        <w:t xml:space="preserve">01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white"/>
        </w:rPr>
        <w:t xml:space="preserve">июня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pacing w:val="-2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pacing w:val="-2"/>
          <w:sz w:val="24"/>
          <w:szCs w:val="24"/>
          <w:highlight w:val="white"/>
        </w:rPr>
        <w:t xml:space="preserve">2026 года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white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ind w:left="0" w:right="0" w:firstLine="709"/>
        <w:jc w:val="both"/>
        <w:tabs>
          <w:tab w:val="left" w:pos="993" w:leader="none"/>
        </w:tabs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Категории (типы) акций, владельцы которых имеют право голоса по всем вопросам повестки дня общего собрания акционеров: 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white"/>
        </w:rPr>
        <w:t xml:space="preserve">обыкновенные акции.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ind w:left="0" w:right="0" w:firstLine="709"/>
        <w:jc w:val="both"/>
        <w:tabs>
          <w:tab w:val="left" w:pos="993" w:leader="none"/>
        </w:tabs>
        <w:rPr>
          <w:rFonts w:ascii="Times New Roman" w:hAnsi="Times New Roman" w:cs="Times New Roman"/>
          <w:b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highlight w:val="white"/>
        </w:rPr>
      </w:r>
    </w:p>
    <w:p>
      <w:pPr>
        <w:ind w:left="0" w:right="0" w:firstLine="709"/>
        <w:jc w:val="center"/>
        <w:shd w:val="clear" w:color="auto" w:fill="ffffff"/>
        <w:tabs>
          <w:tab w:val="left" w:pos="993" w:leader="none"/>
          <w:tab w:val="left" w:pos="9720" w:leader="none"/>
        </w:tabs>
        <w:rPr>
          <w:rFonts w:ascii="Times New Roman" w:hAnsi="Times New Roman" w:cs="Times New Roman"/>
          <w:b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white"/>
        </w:rPr>
        <w:t xml:space="preserve">Повестка дня: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highlight w:val="white"/>
        </w:rPr>
      </w:r>
    </w:p>
    <w:p>
      <w:pPr>
        <w:pStyle w:val="697"/>
        <w:ind w:left="0" w:right="0"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  <w:outlineLvl w:val="0"/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white"/>
        </w:rPr>
        <w:t xml:space="preserve">1. Утверждение годового отчета Общества за 2025 год.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697"/>
        <w:ind w:left="0" w:right="0"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  <w:outlineLvl w:val="0"/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white"/>
        </w:rPr>
        <w:t xml:space="preserve">2. Утверждение годовой бухгалтерской (финансовой) отчетности Общества за 2025 год.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697"/>
        <w:ind w:left="0" w:right="0"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  <w:outlineLvl w:val="0"/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white"/>
        </w:rPr>
        <w:t xml:space="preserve">3. Распределение прибыли (в том числе выплата (объявление) дивидендов) и убытков Общества по результатам 2025 года.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697"/>
        <w:ind w:left="0" w:right="0"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  <w:outlineLvl w:val="0"/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white"/>
        </w:rPr>
        <w:t xml:space="preserve">4. О размере, сроках и форме выплаты дивидендов по результатам 2025 года.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697"/>
        <w:ind w:left="0" w:right="0"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  <w:outlineLvl w:val="0"/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white"/>
        </w:rPr>
        <w:t xml:space="preserve">5. Избрание членов Совета директоров Общества.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697"/>
        <w:ind w:left="0" w:right="0"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  <w:outlineLvl w:val="0"/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white"/>
        </w:rPr>
        <w:t xml:space="preserve">6. Избрание членов ревизионной комиссии Общества.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697"/>
        <w:ind w:left="0" w:right="0"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  <w:outlineLvl w:val="0"/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white"/>
        </w:rPr>
        <w:t xml:space="preserve">7. О назначении аудиторской организации Общества.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ind w:left="0" w:right="0" w:firstLine="709"/>
        <w:jc w:val="both"/>
        <w:shd w:val="clear" w:color="auto" w:fill="ffffff"/>
        <w:widowControl w:val="off"/>
        <w:tabs>
          <w:tab w:val="left" w:pos="851" w:leader="none"/>
          <w:tab w:val="left" w:pos="993" w:leader="none"/>
        </w:tabs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ind w:left="0" w:right="0" w:firstLine="709"/>
        <w:jc w:val="both"/>
        <w:shd w:val="clear" w:color="auto" w:fill="ffffff"/>
        <w:tabs>
          <w:tab w:val="left" w:pos="532" w:leader="none"/>
          <w:tab w:val="left" w:pos="993" w:leader="none"/>
        </w:tabs>
        <w:rPr>
          <w:rFonts w:ascii="Times New Roman" w:hAnsi="Times New Roman" w:cs="Times New Roman"/>
          <w:b/>
          <w:i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С информацией (материалами) по вопросам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повестки дня годового заседания общего собрания акционеров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можно ознакомиться 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white"/>
        </w:rPr>
        <w:t xml:space="preserve">в течение двадцати дней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до даты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проведения заседания и во время его проведения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по адресу: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white"/>
        </w:rPr>
        <w:t xml:space="preserve">Удмуртская Республика, г. Ижевск, </w:t>
        <w:br/>
        <w:t xml:space="preserve">ул. Коммунаров, д. 359, кабинет 11, с понедельника по четверг с 8-00 часов до 17-00 часов (перерыв на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white"/>
        </w:rPr>
        <w:t xml:space="preserve"> обед с 12-00 до 12-48), в пятницу с 8-00 часов до 16-00 часов (перерыв на обед с 12-00 до 12-48), справки по тел. 8 (3412) 701-132, контактное лицо Меньшикова Ольга Викторовна. 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  <w:highlight w:val="white"/>
        </w:rPr>
      </w:r>
    </w:p>
    <w:p>
      <w:pPr>
        <w:ind w:left="0" w:right="0" w:firstLine="709"/>
        <w:jc w:val="both"/>
        <w:shd w:val="clear" w:color="auto" w:fill="ffffff"/>
        <w:tabs>
          <w:tab w:val="left" w:pos="993" w:leader="none"/>
          <w:tab w:val="left" w:pos="9923" w:leader="none"/>
        </w:tabs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Cs/>
          <w:iCs/>
          <w:color w:val="000000" w:themeColor="text1"/>
          <w:sz w:val="24"/>
          <w:szCs w:val="24"/>
          <w:highlight w:val="white"/>
        </w:rPr>
        <w:t xml:space="preserve">Право на участие в заседании общего собрания акционер</w:t>
      </w:r>
      <w:r>
        <w:rPr>
          <w:rFonts w:ascii="Times New Roman" w:hAnsi="Times New Roman" w:eastAsia="Times New Roman" w:cs="Times New Roman"/>
          <w:bCs/>
          <w:iCs/>
          <w:color w:val="000000" w:themeColor="text1"/>
          <w:sz w:val="24"/>
          <w:szCs w:val="24"/>
          <w:highlight w:val="white"/>
        </w:rPr>
        <w:t xml:space="preserve">ов осуществляется акционером как лично, так и через своего представителя.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highlight w:val="white"/>
        </w:rPr>
      </w:r>
    </w:p>
    <w:p>
      <w:pPr>
        <w:ind w:left="0" w:right="0" w:firstLine="709"/>
        <w:jc w:val="both"/>
        <w:tabs>
          <w:tab w:val="left" w:pos="993" w:leader="none"/>
        </w:tabs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Акционеры, чьи права на ценные бумаги учитываются номинальным держателем, вправе принимать участие в общем собрании и осуществлять свое право голоса путем дачи указаний (инструкций) номинальному держателю. Порядок дачи указаний (инструкций) определяются до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говором с номинальным держателем.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ind w:left="0" w:right="0" w:firstLine="709"/>
        <w:jc w:val="both"/>
        <w:tabs>
          <w:tab w:val="left" w:pos="993" w:leader="none"/>
        </w:tabs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В случае изменения данных акционера, зарегистрированного в реестре акционеров общества, в том числе адресных данных, данных о банковских реквизитах, необходимо предоставить информацию об указанных изменениях регистратору Общества.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ind w:left="0" w:right="0" w:firstLine="709"/>
        <w:jc w:val="both"/>
        <w:shd w:val="clear" w:color="auto" w:fill="ffffff"/>
        <w:tabs>
          <w:tab w:val="left" w:pos="567" w:leader="none"/>
        </w:tabs>
        <w:rPr>
          <w:rFonts w:ascii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  <w:t xml:space="preserve">ДЛЯ УЧАСТИЯ В ОБЩЕМ СОБРАНИИ АКЦИОНЕРОВ НЕОБХОДИМО ИМЕТЬ ПРИ СЕБЕ:</w:t>
      </w:r>
      <w:r>
        <w:rPr>
          <w:rFonts w:ascii="Times New Roman" w:hAnsi="Times New Roman" w:cs="Times New Roman"/>
          <w:b/>
          <w:sz w:val="24"/>
          <w:szCs w:val="24"/>
          <w:highlight w:val="white"/>
        </w:rPr>
      </w:r>
      <w:r>
        <w:rPr>
          <w:rFonts w:ascii="Times New Roman" w:hAnsi="Times New Roman" w:cs="Times New Roman"/>
          <w:b/>
          <w:sz w:val="24"/>
          <w:szCs w:val="24"/>
          <w:highlight w:val="white"/>
        </w:rPr>
      </w:r>
    </w:p>
    <w:p>
      <w:pPr>
        <w:ind w:left="0" w:right="0" w:firstLine="709"/>
        <w:jc w:val="both"/>
        <w:shd w:val="clear" w:color="auto" w:fill="ffffff"/>
        <w:tabs>
          <w:tab w:val="left" w:pos="567" w:leader="none"/>
        </w:tabs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u w:val="single"/>
        </w:rPr>
        <w:t xml:space="preserve">Физическому лицу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- паспорт или иной документ, удос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товеряющий личность в соответствии с действующим законодательством (в случае смены паспорта в новом должен иметься штамп с реквизитами прежнего паспорта, либо предъявляется справка из уполномоченного государственного органа, выдавшего паспорт, с указанием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реквизитов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как нового, так и прежнего паспортов):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ind w:left="0" w:right="0" w:firstLine="709"/>
        <w:jc w:val="both"/>
        <w:shd w:val="clear" w:color="auto" w:fill="ffffff"/>
        <w:tabs>
          <w:tab w:val="left" w:pos="567" w:leader="none"/>
        </w:tabs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u w:val="single"/>
        </w:rPr>
        <w:t xml:space="preserve">Уполномоченному представителю физического лица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- кроме документа, удостоверяющего личность, иметь доверенность, оформленную в соответствии с требованиями ст. 185 ГК РФ или удостоверенную нотариально. 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ind w:left="0" w:right="0" w:firstLine="709"/>
        <w:jc w:val="both"/>
        <w:tabs>
          <w:tab w:val="left" w:pos="1701" w:leader="none"/>
          <w:tab w:val="left" w:pos="2552" w:leader="none"/>
          <w:tab w:val="left" w:pos="9923" w:leader="none"/>
        </w:tabs>
        <w:rPr>
          <w:rFonts w:ascii="Times New Roman" w:hAnsi="Times New Roman" w:cs="Times New Roman"/>
          <w:iCs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u w:val="single"/>
        </w:rPr>
        <w:t xml:space="preserve">Уполномоченному представителю юридического лица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- кроме докум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ента, удостоверяющего личность, иметь документы, подтверждающие его право действовать от имени юридического лица без доверенности (документ, подтверждающий его назначение на должность) либо доверенность, оформленную в соответствии с требованиями ст. 185.1 </w:t>
      </w:r>
      <w:r>
        <w:rPr>
          <w:rFonts w:ascii="Times New Roman" w:hAnsi="Times New Roman" w:eastAsia="Times New Roman" w:cs="Times New Roman"/>
          <w:iCs/>
          <w:color w:val="000000"/>
          <w:sz w:val="24"/>
          <w:szCs w:val="24"/>
          <w:highlight w:val="white"/>
        </w:rPr>
        <w:t xml:space="preserve">Гражданского кодекса Российской Федерации или удостоверенную нотариально. </w:t>
      </w:r>
      <w:r>
        <w:rPr>
          <w:rFonts w:ascii="Times New Roman" w:hAnsi="Times New Roman" w:cs="Times New Roman"/>
          <w:iCs/>
          <w:color w:val="000000"/>
          <w:sz w:val="24"/>
          <w:szCs w:val="24"/>
          <w:highlight w:val="white"/>
        </w:rPr>
      </w:r>
      <w:r>
        <w:rPr>
          <w:rFonts w:ascii="Times New Roman" w:hAnsi="Times New Roman" w:cs="Times New Roman"/>
          <w:iCs/>
          <w:color w:val="000000"/>
          <w:sz w:val="24"/>
          <w:szCs w:val="24"/>
          <w:highlight w:val="white"/>
        </w:rPr>
      </w:r>
    </w:p>
    <w:p>
      <w:pPr>
        <w:ind w:left="0" w:right="0" w:firstLine="709"/>
        <w:jc w:val="both"/>
        <w:shd w:val="clear" w:color="auto" w:fill="ffffff"/>
        <w:tabs>
          <w:tab w:val="left" w:pos="1701" w:leader="none"/>
          <w:tab w:val="left" w:pos="2552" w:leader="none"/>
        </w:tabs>
        <w:rPr>
          <w:rFonts w:ascii="Times New Roman" w:hAnsi="Times New Roman" w:cs="Times New Roman"/>
          <w:iCs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iCs/>
          <w:color w:val="000000"/>
          <w:sz w:val="24"/>
          <w:szCs w:val="24"/>
          <w:highlight w:val="white"/>
        </w:rPr>
        <w:t xml:space="preserve">Доверенность на голосование должна содержать сведения </w:t>
      </w:r>
      <w:r>
        <w:rPr>
          <w:rFonts w:ascii="Times New Roman" w:hAnsi="Times New Roman" w:eastAsia="Times New Roman" w:cs="Times New Roman"/>
          <w:iCs/>
          <w:color w:val="000000"/>
          <w:sz w:val="24"/>
          <w:szCs w:val="24"/>
          <w:highlight w:val="white"/>
        </w:rPr>
        <w:t xml:space="preserve">о представляемом и представителе (для физического лица - имя, данные документа, удостоверяющего личность (серия и (или) номер документа, дата и место его выдачи, орган, выдавший документ), для юридического лица - наименование, сведения о месте нахождения).</w:t>
      </w:r>
      <w:r>
        <w:rPr>
          <w:rFonts w:ascii="Times New Roman" w:hAnsi="Times New Roman" w:eastAsia="Times New Roman" w:cs="Times New Roman"/>
          <w:iCs/>
          <w:color w:val="000000"/>
          <w:sz w:val="24"/>
          <w:szCs w:val="24"/>
          <w:highlight w:val="white"/>
        </w:rPr>
        <w:t xml:space="preserve"> Доверенность на голосование должна быть оформлена в соответствии с требованиями пунктов 3 и 4 статьи 185.1 Гражданского кодекса Российской Федерации или удостоверена нотариально.</w:t>
      </w:r>
      <w:r>
        <w:rPr>
          <w:rFonts w:ascii="Times New Roman" w:hAnsi="Times New Roman" w:cs="Times New Roman"/>
          <w:iCs/>
          <w:color w:val="000000"/>
          <w:sz w:val="24"/>
          <w:szCs w:val="24"/>
          <w:highlight w:val="white"/>
        </w:rPr>
      </w:r>
      <w:r>
        <w:rPr>
          <w:rFonts w:ascii="Times New Roman" w:hAnsi="Times New Roman" w:cs="Times New Roman"/>
          <w:iCs/>
          <w:color w:val="000000"/>
          <w:sz w:val="24"/>
          <w:szCs w:val="24"/>
          <w:highlight w:val="white"/>
        </w:rPr>
      </w:r>
    </w:p>
    <w:p>
      <w:pPr>
        <w:ind w:left="0" w:right="0" w:firstLine="709"/>
        <w:jc w:val="both"/>
        <w:shd w:val="clear" w:color="auto" w:fill="ffffff"/>
        <w:tabs>
          <w:tab w:val="left" w:pos="1701" w:leader="none"/>
          <w:tab w:val="left" w:pos="2552" w:leader="none"/>
        </w:tabs>
        <w:rPr>
          <w:rFonts w:ascii="Times New Roman" w:hAnsi="Times New Roman" w:cs="Times New Roman"/>
          <w:iCs/>
          <w:color w:val="000000"/>
          <w:spacing w:val="-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iCs/>
          <w:color w:val="000000"/>
          <w:sz w:val="24"/>
          <w:szCs w:val="24"/>
          <w:highlight w:val="white"/>
        </w:rPr>
        <w:t xml:space="preserve">В случае правопреемства - документы, удостоверяющие полномочия правопреемников и представителей лиц, имеющих право на участие в общем собрании акционеров, (их копии, засвидетельствованные нотариально)</w:t>
      </w:r>
      <w:r>
        <w:rPr>
          <w:rFonts w:ascii="Times New Roman" w:hAnsi="Times New Roman" w:eastAsia="Times New Roman" w:cs="Times New Roman"/>
          <w:iCs/>
          <w:color w:val="000000"/>
          <w:spacing w:val="-1"/>
          <w:sz w:val="24"/>
          <w:szCs w:val="24"/>
          <w:highlight w:val="white"/>
        </w:rPr>
        <w:t xml:space="preserve">.</w:t>
      </w:r>
      <w:r>
        <w:rPr>
          <w:rFonts w:ascii="Times New Roman" w:hAnsi="Times New Roman" w:cs="Times New Roman"/>
          <w:iCs/>
          <w:color w:val="000000"/>
          <w:spacing w:val="-1"/>
          <w:sz w:val="24"/>
          <w:szCs w:val="24"/>
          <w:highlight w:val="white"/>
        </w:rPr>
      </w:r>
      <w:r>
        <w:rPr>
          <w:rFonts w:ascii="Times New Roman" w:hAnsi="Times New Roman" w:cs="Times New Roman"/>
          <w:iCs/>
          <w:color w:val="000000"/>
          <w:spacing w:val="-1"/>
          <w:sz w:val="24"/>
          <w:szCs w:val="24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highlight w:val="white"/>
          <w:lang w:eastAsia="en-US"/>
        </w:rPr>
        <w:t xml:space="preserve">Принявшими участие в 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highlight w:val="white"/>
          <w:lang w:eastAsia="en-US"/>
        </w:rPr>
        <w:t xml:space="preserve">общем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highlight w:val="white"/>
          <w:lang w:eastAsia="en-US"/>
        </w:rPr>
        <w:t xml:space="preserve"> собрании акционеров будут считаться: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</w:r>
    </w:p>
    <w:p>
      <w:pPr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en-US"/>
        </w:rPr>
        <w:t xml:space="preserve">– акционеры, </w:t>
      </w:r>
      <w:hyperlink r:id="rId10" w:tooltip="consultantplus://offline/ref=EF0589700282FFDB6E20886F6A586AB36B67AAAFC2B48ADB582214467E5F40FD04CB11166E15641946947BF7D75333B623AD4021CCD36814U4x9L" w:history="1">
        <w:r>
          <w:rPr>
            <w:rFonts w:ascii="Times New Roman" w:hAnsi="Times New Roman" w:eastAsia="Times New Roman" w:cs="Times New Roman"/>
            <w:sz w:val="24"/>
            <w:szCs w:val="24"/>
            <w:highlight w:val="white"/>
            <w:lang w:eastAsia="en-US"/>
          </w:rPr>
          <w:t xml:space="preserve">зарегистрировавшиеся</w:t>
        </w:r>
      </w:hyperlink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en-US"/>
        </w:rPr>
        <w:t xml:space="preserve"> для участия в </w:t>
      </w:r>
      <w:r>
        <w:rPr>
          <w:rFonts w:ascii="Times New Roman" w:hAnsi="Times New Roman" w:eastAsia="Times New Roman" w:cs="Times New Roman" w:eastAsiaTheme="minorHAnsi"/>
          <w:bCs/>
          <w:sz w:val="24"/>
          <w:szCs w:val="24"/>
          <w:highlight w:val="white"/>
          <w:lang w:eastAsia="en-US"/>
        </w:rPr>
        <w:t xml:space="preserve">годовом </w:t>
      </w:r>
      <w:r>
        <w:rPr>
          <w:rFonts w:ascii="Times New Roman" w:hAnsi="Times New Roman" w:eastAsia="Times New Roman" w:cs="Times New Roman" w:eastAsiaTheme="minorHAnsi"/>
          <w:bCs/>
          <w:sz w:val="24"/>
          <w:szCs w:val="24"/>
          <w:highlight w:val="white"/>
          <w:lang w:eastAsia="en-US"/>
        </w:rPr>
        <w:t xml:space="preserve">заседании общего собрания акционеров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iCs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en-US"/>
        </w:rPr>
        <w:t xml:space="preserve">- 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en-US"/>
        </w:rPr>
        <w:t xml:space="preserve">акционеры, бюллетени которых получены за два дня до даты проведения годового заседания общего собрания акционеров, последний день приема бюллетеней</w:t>
      </w:r>
      <w:r>
        <w:rPr>
          <w:rFonts w:ascii="Times New Roman" w:hAnsi="Times New Roman" w:eastAsia="Times New Roman" w:cs="Times New Roman"/>
          <w:iCs/>
          <w:color w:val="000000"/>
          <w:sz w:val="24"/>
          <w:szCs w:val="24"/>
          <w:highlight w:val="white"/>
        </w:rPr>
        <w:t xml:space="preserve"> –</w:t>
      </w:r>
      <w:r>
        <w:rPr>
          <w:rFonts w:ascii="Times New Roman" w:hAnsi="Times New Roman" w:eastAsia="Times New Roman" w:cs="Times New Roman"/>
          <w:b/>
          <w:bCs/>
          <w:iCs/>
          <w:color w:val="000000"/>
          <w:sz w:val="24"/>
          <w:szCs w:val="24"/>
          <w:highlight w:val="white"/>
        </w:rPr>
        <w:t xml:space="preserve"> 23</w:t>
      </w:r>
      <w:r>
        <w:rPr>
          <w:rFonts w:ascii="Times New Roman" w:hAnsi="Times New Roman" w:eastAsia="Times New Roman" w:cs="Times New Roman"/>
          <w:b/>
          <w:bCs/>
          <w:iCs/>
          <w:color w:val="000000"/>
          <w:sz w:val="24"/>
          <w:szCs w:val="24"/>
          <w:highlight w:val="white"/>
        </w:rPr>
        <w:t xml:space="preserve">.06.202</w:t>
      </w:r>
      <w:r>
        <w:rPr>
          <w:rFonts w:ascii="Times New Roman" w:hAnsi="Times New Roman" w:eastAsia="Times New Roman" w:cs="Times New Roman"/>
          <w:b/>
          <w:bCs/>
          <w:iCs/>
          <w:color w:val="000000"/>
          <w:sz w:val="24"/>
          <w:szCs w:val="24"/>
          <w:highlight w:val="white"/>
        </w:rPr>
        <w:t xml:space="preserve">6</w:t>
      </w:r>
      <w:r>
        <w:rPr>
          <w:rFonts w:ascii="Times New Roman" w:hAnsi="Times New Roman" w:eastAsia="Times New Roman" w:cs="Times New Roman"/>
          <w:b/>
          <w:bCs/>
          <w:iCs/>
          <w:color w:val="000000"/>
          <w:sz w:val="24"/>
          <w:szCs w:val="24"/>
          <w:highlight w:val="white"/>
        </w:rPr>
        <w:t xml:space="preserve">; </w:t>
      </w:r>
      <w:r>
        <w:rPr>
          <w:rFonts w:ascii="Times New Roman" w:hAnsi="Times New Roman" w:cs="Times New Roman"/>
          <w:b/>
          <w:iCs/>
          <w:color w:val="000000"/>
          <w:sz w:val="24"/>
          <w:szCs w:val="24"/>
          <w:highlight w:val="white"/>
        </w:rPr>
      </w:r>
      <w:r>
        <w:rPr>
          <w:rFonts w:ascii="Times New Roman" w:hAnsi="Times New Roman" w:cs="Times New Roman"/>
          <w:b/>
          <w:iCs/>
          <w:color w:val="000000"/>
          <w:sz w:val="24"/>
          <w:szCs w:val="24"/>
          <w:highlight w:val="white"/>
        </w:rPr>
      </w:r>
    </w:p>
    <w:p>
      <w:pPr>
        <w:ind w:firstLine="709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iCs/>
          <w:color w:val="000000"/>
          <w:sz w:val="24"/>
          <w:szCs w:val="24"/>
          <w:highlight w:val="white"/>
        </w:rPr>
        <w:t xml:space="preserve">- акционеры, которые в со</w:t>
      </w:r>
      <w:r>
        <w:rPr>
          <w:rFonts w:ascii="Times New Roman" w:hAnsi="Times New Roman" w:eastAsia="Times New Roman" w:cs="Times New Roman"/>
          <w:iCs/>
          <w:color w:val="000000"/>
          <w:sz w:val="24"/>
          <w:szCs w:val="24"/>
          <w:highlight w:val="white"/>
        </w:rPr>
        <w:t xml:space="preserve">ответствии с правилами законодательства Российской Федерации о ценных бумагах дали лицу, осуществляющему учёт их прав на акции, указания (инструкции) о голосовании, если сообщение о его волеизъявлении получено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en-US"/>
        </w:rPr>
        <w:t xml:space="preserve">за два дня до даты проведения заседания общего собрания акционеро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en-US"/>
        </w:rPr>
        <w:t xml:space="preserve">в</w:t>
      </w:r>
      <w:r>
        <w:rPr>
          <w:rFonts w:ascii="Times New Roman" w:hAnsi="Times New Roman" w:eastAsia="Times New Roman" w:cs="Times New Roman"/>
          <w:iCs/>
          <w:color w:val="000000"/>
          <w:sz w:val="24"/>
          <w:szCs w:val="24"/>
          <w:highlight w:val="white"/>
        </w:rPr>
        <w:t xml:space="preserve">– </w:t>
      </w:r>
      <w:r>
        <w:rPr>
          <w:rFonts w:ascii="Times New Roman" w:hAnsi="Times New Roman" w:eastAsia="Times New Roman" w:cs="Times New Roman"/>
          <w:b/>
          <w:bCs/>
          <w:iCs/>
          <w:color w:val="000000"/>
          <w:sz w:val="24"/>
          <w:szCs w:val="24"/>
          <w:highlight w:val="white"/>
        </w:rPr>
        <w:t xml:space="preserve">23</w:t>
      </w:r>
      <w:r>
        <w:rPr>
          <w:rFonts w:ascii="Times New Roman" w:hAnsi="Times New Roman" w:eastAsia="Times New Roman" w:cs="Times New Roman"/>
          <w:b/>
          <w:bCs/>
          <w:iCs/>
          <w:color w:val="000000"/>
          <w:sz w:val="24"/>
          <w:szCs w:val="24"/>
          <w:highlight w:val="white"/>
        </w:rPr>
        <w:t xml:space="preserve">.06.202</w:t>
      </w:r>
      <w:r>
        <w:rPr>
          <w:rFonts w:ascii="Times New Roman" w:hAnsi="Times New Roman" w:eastAsia="Times New Roman" w:cs="Times New Roman"/>
          <w:b/>
          <w:bCs/>
          <w:iCs/>
          <w:color w:val="000000"/>
          <w:sz w:val="24"/>
          <w:szCs w:val="24"/>
          <w:highlight w:val="white"/>
        </w:rPr>
        <w:t xml:space="preserve">6</w:t>
      </w:r>
      <w:r>
        <w:rPr>
          <w:rFonts w:ascii="Times New Roman" w:hAnsi="Times New Roman" w:eastAsia="Times New Roman" w:cs="Times New Roman"/>
          <w:b/>
          <w:bCs/>
          <w:iCs/>
          <w:color w:val="000000"/>
          <w:sz w:val="24"/>
          <w:szCs w:val="24"/>
          <w:highlight w:val="white"/>
        </w:rPr>
        <w:t xml:space="preserve">.</w:t>
      </w:r>
      <w:bookmarkStart w:id="0" w:name="undefined"/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</w:r>
      <w:bookmarkEnd w:id="0"/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  <w:highlight w:val="white"/>
        </w:rPr>
      </w: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</w:r>
    </w:p>
    <w:p>
      <w:pPr>
        <w:ind w:left="0" w:right="0" w:firstLine="709"/>
        <w:jc w:val="both"/>
        <w:shd w:val="clear" w:color="auto" w:fill="ffffff"/>
        <w:tabs>
          <w:tab w:val="left" w:pos="567" w:leader="none"/>
        </w:tabs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  <w:t xml:space="preserve">ВНИМАНИЕ</w:t>
      </w:r>
      <w:r>
        <w:rPr>
          <w:rFonts w:ascii="Times New Roman" w:hAnsi="Times New Roman" w:eastAsia="Times New Roman" w:cs="Times New Roman"/>
          <w:b/>
          <w:i/>
          <w:sz w:val="24"/>
          <w:szCs w:val="24"/>
          <w:highlight w:val="white"/>
        </w:rPr>
        <w:t xml:space="preserve">! Акционеры (их уполномоченные представители), изъявившие желание принять личное участие в годовом заседании общего собрания</w:t>
      </w:r>
      <w:r>
        <w:rPr>
          <w:rFonts w:ascii="Times New Roman" w:hAnsi="Times New Roman" w:eastAsia="Times New Roman" w:cs="Times New Roman"/>
          <w:b/>
          <w:i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i/>
          <w:sz w:val="24"/>
          <w:szCs w:val="24"/>
          <w:highlight w:val="white"/>
        </w:rPr>
        <w:t xml:space="preserve">акционеров, должны  пройти  обязательную регистрацию в счетной комиссии собрания.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sectPr>
      <w:footnotePr/>
      <w:endnotePr/>
      <w:type w:val="nextPage"/>
      <w:pgSz w:w="11909" w:h="16834" w:orient="portrait"/>
      <w:pgMar w:top="1134" w:right="710" w:bottom="851" w:left="1418" w:header="720" w:footer="720" w:gutter="0"/>
      <w:cols w:num="1" w:sep="0" w:space="6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3020204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8">
    <w:name w:val="Caption Char"/>
    <w:basedOn w:val="669"/>
    <w:link w:val="710"/>
    <w:uiPriority w:val="35"/>
    <w:rPr>
      <w:b/>
      <w:bCs/>
      <w:color w:val="4f81bd" w:themeColor="accent1"/>
      <w:sz w:val="18"/>
      <w:szCs w:val="18"/>
    </w:rPr>
  </w:style>
  <w:style w:type="paragraph" w:styleId="659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60">
    <w:name w:val="Heading 1"/>
    <w:basedOn w:val="659"/>
    <w:next w:val="659"/>
    <w:link w:val="856"/>
    <w:uiPriority w:val="99"/>
    <w:qFormat/>
    <w:pPr>
      <w:jc w:val="center"/>
      <w:keepNext/>
      <w:shd w:val="clear" w:color="auto" w:fill="ffffff"/>
      <w:outlineLvl w:val="0"/>
    </w:pPr>
    <w:rPr>
      <w:b/>
      <w:bCs/>
      <w:color w:val="000000"/>
      <w:spacing w:val="-6"/>
      <w:sz w:val="22"/>
      <w:szCs w:val="22"/>
    </w:rPr>
  </w:style>
  <w:style w:type="paragraph" w:styleId="661">
    <w:name w:val="Heading 2"/>
    <w:basedOn w:val="659"/>
    <w:next w:val="659"/>
    <w:link w:val="68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62">
    <w:name w:val="Heading 3"/>
    <w:basedOn w:val="659"/>
    <w:next w:val="659"/>
    <w:link w:val="69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63">
    <w:name w:val="Heading 4"/>
    <w:basedOn w:val="659"/>
    <w:next w:val="659"/>
    <w:link w:val="69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659"/>
    <w:next w:val="659"/>
    <w:link w:val="69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665">
    <w:name w:val="Heading 6"/>
    <w:basedOn w:val="659"/>
    <w:next w:val="659"/>
    <w:link w:val="69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659"/>
    <w:next w:val="659"/>
    <w:link w:val="69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67">
    <w:name w:val="Heading 8"/>
    <w:basedOn w:val="659"/>
    <w:next w:val="659"/>
    <w:link w:val="69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68">
    <w:name w:val="Heading 9"/>
    <w:basedOn w:val="659"/>
    <w:next w:val="659"/>
    <w:link w:val="69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9" w:default="1">
    <w:name w:val="Default Paragraph Font"/>
    <w:uiPriority w:val="1"/>
    <w:semiHidden/>
    <w:unhideWhenUsed/>
  </w:style>
  <w:style w:type="table" w:styleId="67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1" w:default="1">
    <w:name w:val="No List"/>
    <w:uiPriority w:val="99"/>
    <w:semiHidden/>
    <w:unhideWhenUsed/>
  </w:style>
  <w:style w:type="character" w:styleId="672" w:customStyle="1">
    <w:name w:val="Heading 2 Char"/>
    <w:basedOn w:val="669"/>
    <w:uiPriority w:val="9"/>
    <w:rPr>
      <w:rFonts w:ascii="Arial" w:hAnsi="Arial" w:eastAsia="Arial" w:cs="Arial"/>
      <w:sz w:val="34"/>
    </w:rPr>
  </w:style>
  <w:style w:type="character" w:styleId="673" w:customStyle="1">
    <w:name w:val="Heading 3 Char"/>
    <w:basedOn w:val="669"/>
    <w:uiPriority w:val="9"/>
    <w:rPr>
      <w:rFonts w:ascii="Arial" w:hAnsi="Arial" w:eastAsia="Arial" w:cs="Arial"/>
      <w:sz w:val="30"/>
      <w:szCs w:val="30"/>
    </w:rPr>
  </w:style>
  <w:style w:type="character" w:styleId="674" w:customStyle="1">
    <w:name w:val="Heading 4 Char"/>
    <w:basedOn w:val="669"/>
    <w:uiPriority w:val="9"/>
    <w:rPr>
      <w:rFonts w:ascii="Arial" w:hAnsi="Arial" w:eastAsia="Arial" w:cs="Arial"/>
      <w:b/>
      <w:bCs/>
      <w:sz w:val="26"/>
      <w:szCs w:val="26"/>
    </w:rPr>
  </w:style>
  <w:style w:type="character" w:styleId="675" w:customStyle="1">
    <w:name w:val="Heading 5 Char"/>
    <w:basedOn w:val="669"/>
    <w:uiPriority w:val="9"/>
    <w:rPr>
      <w:rFonts w:ascii="Arial" w:hAnsi="Arial" w:eastAsia="Arial" w:cs="Arial"/>
      <w:b/>
      <w:bCs/>
      <w:sz w:val="24"/>
      <w:szCs w:val="24"/>
    </w:rPr>
  </w:style>
  <w:style w:type="character" w:styleId="676" w:customStyle="1">
    <w:name w:val="Heading 6 Char"/>
    <w:basedOn w:val="669"/>
    <w:uiPriority w:val="9"/>
    <w:rPr>
      <w:rFonts w:ascii="Arial" w:hAnsi="Arial" w:eastAsia="Arial" w:cs="Arial"/>
      <w:b/>
      <w:bCs/>
      <w:sz w:val="22"/>
      <w:szCs w:val="22"/>
    </w:rPr>
  </w:style>
  <w:style w:type="character" w:styleId="677" w:customStyle="1">
    <w:name w:val="Heading 7 Char"/>
    <w:basedOn w:val="66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8" w:customStyle="1">
    <w:name w:val="Heading 8 Char"/>
    <w:basedOn w:val="669"/>
    <w:uiPriority w:val="9"/>
    <w:rPr>
      <w:rFonts w:ascii="Arial" w:hAnsi="Arial" w:eastAsia="Arial" w:cs="Arial"/>
      <w:i/>
      <w:iCs/>
      <w:sz w:val="22"/>
      <w:szCs w:val="22"/>
    </w:rPr>
  </w:style>
  <w:style w:type="character" w:styleId="679" w:customStyle="1">
    <w:name w:val="Heading 9 Char"/>
    <w:basedOn w:val="669"/>
    <w:uiPriority w:val="9"/>
    <w:rPr>
      <w:rFonts w:ascii="Arial" w:hAnsi="Arial" w:eastAsia="Arial" w:cs="Arial"/>
      <w:i/>
      <w:iCs/>
      <w:sz w:val="21"/>
      <w:szCs w:val="21"/>
    </w:rPr>
  </w:style>
  <w:style w:type="character" w:styleId="680" w:customStyle="1">
    <w:name w:val="Title Char"/>
    <w:basedOn w:val="669"/>
    <w:uiPriority w:val="10"/>
    <w:rPr>
      <w:sz w:val="48"/>
      <w:szCs w:val="48"/>
    </w:rPr>
  </w:style>
  <w:style w:type="character" w:styleId="681" w:customStyle="1">
    <w:name w:val="Subtitle Char"/>
    <w:basedOn w:val="669"/>
    <w:uiPriority w:val="11"/>
    <w:rPr>
      <w:sz w:val="24"/>
      <w:szCs w:val="24"/>
    </w:rPr>
  </w:style>
  <w:style w:type="character" w:styleId="682" w:customStyle="1">
    <w:name w:val="Quote Char"/>
    <w:uiPriority w:val="29"/>
    <w:rPr>
      <w:i/>
    </w:rPr>
  </w:style>
  <w:style w:type="character" w:styleId="683" w:customStyle="1">
    <w:name w:val="Intense Quote Char"/>
    <w:uiPriority w:val="30"/>
    <w:rPr>
      <w:i/>
    </w:rPr>
  </w:style>
  <w:style w:type="character" w:styleId="684" w:customStyle="1">
    <w:name w:val="Header Char"/>
    <w:basedOn w:val="669"/>
    <w:uiPriority w:val="99"/>
  </w:style>
  <w:style w:type="character" w:styleId="685" w:customStyle="1">
    <w:name w:val="Название объекта Знак"/>
    <w:basedOn w:val="669"/>
    <w:link w:val="710"/>
    <w:uiPriority w:val="35"/>
    <w:rPr>
      <w:b/>
      <w:bCs/>
      <w:color w:val="5b9bd5" w:themeColor="accent1"/>
      <w:sz w:val="18"/>
      <w:szCs w:val="18"/>
    </w:rPr>
  </w:style>
  <w:style w:type="character" w:styleId="686" w:customStyle="1">
    <w:name w:val="Footnote Text Char"/>
    <w:uiPriority w:val="99"/>
    <w:rPr>
      <w:sz w:val="18"/>
    </w:rPr>
  </w:style>
  <w:style w:type="character" w:styleId="687" w:customStyle="1">
    <w:name w:val="Endnote Text Char"/>
    <w:uiPriority w:val="99"/>
    <w:rPr>
      <w:sz w:val="20"/>
    </w:rPr>
  </w:style>
  <w:style w:type="character" w:styleId="688" w:customStyle="1">
    <w:name w:val="Heading 1 Char"/>
    <w:basedOn w:val="669"/>
    <w:uiPriority w:val="9"/>
    <w:rPr>
      <w:rFonts w:ascii="Arial" w:hAnsi="Arial" w:eastAsia="Arial" w:cs="Arial"/>
      <w:sz w:val="40"/>
      <w:szCs w:val="40"/>
    </w:rPr>
  </w:style>
  <w:style w:type="character" w:styleId="689" w:customStyle="1">
    <w:name w:val="Заголовок 2 Знак"/>
    <w:basedOn w:val="669"/>
    <w:link w:val="661"/>
    <w:uiPriority w:val="9"/>
    <w:rPr>
      <w:rFonts w:ascii="Arial" w:hAnsi="Arial" w:eastAsia="Arial" w:cs="Arial"/>
      <w:sz w:val="34"/>
    </w:rPr>
  </w:style>
  <w:style w:type="character" w:styleId="690" w:customStyle="1">
    <w:name w:val="Заголовок 3 Знак"/>
    <w:basedOn w:val="669"/>
    <w:link w:val="662"/>
    <w:uiPriority w:val="9"/>
    <w:rPr>
      <w:rFonts w:ascii="Arial" w:hAnsi="Arial" w:eastAsia="Arial" w:cs="Arial"/>
      <w:sz w:val="30"/>
      <w:szCs w:val="30"/>
    </w:rPr>
  </w:style>
  <w:style w:type="character" w:styleId="691" w:customStyle="1">
    <w:name w:val="Заголовок 4 Знак"/>
    <w:basedOn w:val="669"/>
    <w:link w:val="663"/>
    <w:uiPriority w:val="9"/>
    <w:rPr>
      <w:rFonts w:ascii="Arial" w:hAnsi="Arial" w:eastAsia="Arial" w:cs="Arial"/>
      <w:b/>
      <w:bCs/>
      <w:sz w:val="26"/>
      <w:szCs w:val="26"/>
    </w:rPr>
  </w:style>
  <w:style w:type="character" w:styleId="692" w:customStyle="1">
    <w:name w:val="Заголовок 5 Знак"/>
    <w:basedOn w:val="669"/>
    <w:link w:val="664"/>
    <w:uiPriority w:val="9"/>
    <w:rPr>
      <w:rFonts w:ascii="Arial" w:hAnsi="Arial" w:eastAsia="Arial" w:cs="Arial"/>
      <w:b/>
      <w:bCs/>
      <w:sz w:val="24"/>
      <w:szCs w:val="24"/>
    </w:rPr>
  </w:style>
  <w:style w:type="character" w:styleId="693" w:customStyle="1">
    <w:name w:val="Заголовок 6 Знак"/>
    <w:basedOn w:val="669"/>
    <w:link w:val="665"/>
    <w:uiPriority w:val="9"/>
    <w:rPr>
      <w:rFonts w:ascii="Arial" w:hAnsi="Arial" w:eastAsia="Arial" w:cs="Arial"/>
      <w:b/>
      <w:bCs/>
      <w:sz w:val="22"/>
      <w:szCs w:val="22"/>
    </w:rPr>
  </w:style>
  <w:style w:type="character" w:styleId="694" w:customStyle="1">
    <w:name w:val="Заголовок 7 Знак"/>
    <w:basedOn w:val="669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5" w:customStyle="1">
    <w:name w:val="Заголовок 8 Знак"/>
    <w:basedOn w:val="669"/>
    <w:link w:val="667"/>
    <w:uiPriority w:val="9"/>
    <w:rPr>
      <w:rFonts w:ascii="Arial" w:hAnsi="Arial" w:eastAsia="Arial" w:cs="Arial"/>
      <w:i/>
      <w:iCs/>
      <w:sz w:val="22"/>
      <w:szCs w:val="22"/>
    </w:rPr>
  </w:style>
  <w:style w:type="character" w:styleId="696" w:customStyle="1">
    <w:name w:val="Заголовок 9 Знак"/>
    <w:basedOn w:val="669"/>
    <w:link w:val="668"/>
    <w:uiPriority w:val="9"/>
    <w:rPr>
      <w:rFonts w:ascii="Arial" w:hAnsi="Arial" w:eastAsia="Arial" w:cs="Arial"/>
      <w:i/>
      <w:iCs/>
      <w:sz w:val="21"/>
      <w:szCs w:val="21"/>
    </w:rPr>
  </w:style>
  <w:style w:type="paragraph" w:styleId="697">
    <w:name w:val="No Spacing"/>
    <w:uiPriority w:val="1"/>
    <w:qFormat/>
    <w:pPr>
      <w:spacing w:after="0" w:line="240" w:lineRule="auto"/>
    </w:pPr>
  </w:style>
  <w:style w:type="paragraph" w:styleId="698">
    <w:name w:val="Title"/>
    <w:basedOn w:val="659"/>
    <w:next w:val="659"/>
    <w:link w:val="69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9" w:customStyle="1">
    <w:name w:val="Название Знак"/>
    <w:basedOn w:val="669"/>
    <w:link w:val="698"/>
    <w:uiPriority w:val="10"/>
    <w:rPr>
      <w:sz w:val="48"/>
      <w:szCs w:val="48"/>
    </w:rPr>
  </w:style>
  <w:style w:type="paragraph" w:styleId="700">
    <w:name w:val="Subtitle"/>
    <w:basedOn w:val="659"/>
    <w:next w:val="659"/>
    <w:link w:val="701"/>
    <w:uiPriority w:val="11"/>
    <w:qFormat/>
    <w:pPr>
      <w:spacing w:before="200" w:after="200"/>
    </w:pPr>
  </w:style>
  <w:style w:type="character" w:styleId="701" w:customStyle="1">
    <w:name w:val="Подзаголовок Знак"/>
    <w:basedOn w:val="669"/>
    <w:link w:val="700"/>
    <w:uiPriority w:val="11"/>
    <w:rPr>
      <w:sz w:val="24"/>
      <w:szCs w:val="24"/>
    </w:rPr>
  </w:style>
  <w:style w:type="paragraph" w:styleId="702">
    <w:name w:val="Quote"/>
    <w:basedOn w:val="659"/>
    <w:next w:val="659"/>
    <w:link w:val="703"/>
    <w:uiPriority w:val="29"/>
    <w:qFormat/>
    <w:pPr>
      <w:ind w:left="720" w:right="720"/>
    </w:pPr>
    <w:rPr>
      <w:i/>
    </w:rPr>
  </w:style>
  <w:style w:type="character" w:styleId="703" w:customStyle="1">
    <w:name w:val="Цитата 2 Знак"/>
    <w:link w:val="702"/>
    <w:uiPriority w:val="29"/>
    <w:rPr>
      <w:i/>
    </w:rPr>
  </w:style>
  <w:style w:type="paragraph" w:styleId="704">
    <w:name w:val="Intense Quote"/>
    <w:basedOn w:val="659"/>
    <w:next w:val="659"/>
    <w:link w:val="70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5" w:customStyle="1">
    <w:name w:val="Выделенная цитата Знак"/>
    <w:link w:val="704"/>
    <w:uiPriority w:val="30"/>
    <w:rPr>
      <w:i/>
    </w:rPr>
  </w:style>
  <w:style w:type="paragraph" w:styleId="706">
    <w:name w:val="Header"/>
    <w:basedOn w:val="659"/>
    <w:link w:val="707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07" w:customStyle="1">
    <w:name w:val="Верхний колонтитул Знак"/>
    <w:basedOn w:val="669"/>
    <w:link w:val="706"/>
    <w:uiPriority w:val="99"/>
  </w:style>
  <w:style w:type="paragraph" w:styleId="708">
    <w:name w:val="Footer"/>
    <w:basedOn w:val="659"/>
    <w:link w:val="711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09" w:customStyle="1">
    <w:name w:val="Footer Char"/>
    <w:basedOn w:val="669"/>
    <w:uiPriority w:val="99"/>
  </w:style>
  <w:style w:type="paragraph" w:styleId="710">
    <w:name w:val="Caption"/>
    <w:basedOn w:val="659"/>
    <w:next w:val="659"/>
    <w:link w:val="685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11" w:customStyle="1">
    <w:name w:val="Нижний колонтитул Знак"/>
    <w:link w:val="708"/>
    <w:uiPriority w:val="99"/>
  </w:style>
  <w:style w:type="table" w:styleId="712">
    <w:name w:val="Table Grid"/>
    <w:basedOn w:val="67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3" w:customStyle="1">
    <w:name w:val="Table Grid Light"/>
    <w:basedOn w:val="670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4" w:customStyle="1">
    <w:name w:val="Plain Table 1"/>
    <w:basedOn w:val="670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5" w:customStyle="1">
    <w:name w:val="Plain Table 2"/>
    <w:basedOn w:val="67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6" w:customStyle="1">
    <w:name w:val="Plain Table 3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7" w:customStyle="1">
    <w:name w:val="Plain Table 4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 w:customStyle="1">
    <w:name w:val="Plain Table 5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9" w:customStyle="1">
    <w:name w:val="Grid Table 1 Light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1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2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1 Light - Accent 3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1 Light - Accent 4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5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Grid Table 1 Light - Accent 6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Grid Table 2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1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2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2 - Accent 3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2 - Accent 4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5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2 - Accent 6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3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1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2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3 - Accent 3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 - Accent 4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5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3 - Accent 6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4"/>
    <w:basedOn w:val="6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1" w:customStyle="1">
    <w:name w:val="Grid Table 4 - Accent 1"/>
    <w:basedOn w:val="6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42" w:customStyle="1">
    <w:name w:val="Grid Table 4 - Accent 2"/>
    <w:basedOn w:val="6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3" w:customStyle="1">
    <w:name w:val="Grid Table 4 - Accent 3"/>
    <w:basedOn w:val="6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4" w:customStyle="1">
    <w:name w:val="Grid Table 4 - Accent 4"/>
    <w:basedOn w:val="6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5" w:customStyle="1">
    <w:name w:val="Grid Table 4 - Accent 5"/>
    <w:basedOn w:val="6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46" w:customStyle="1">
    <w:name w:val="Grid Table 4 - Accent 6"/>
    <w:basedOn w:val="6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47" w:customStyle="1">
    <w:name w:val="Grid Table 5 Dark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- Accent 1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 - Accent 2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50" w:customStyle="1">
    <w:name w:val="Grid Table 5 Dark - Accent 3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5 Dark- Accent 4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5 Dark - Accent 5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53" w:customStyle="1">
    <w:name w:val="Grid Table 5 Dark - Accent 6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4" w:customStyle="1">
    <w:name w:val="Grid Table 6 Colorful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5" w:customStyle="1">
    <w:name w:val="Grid Table 6 Colorful - Accent 1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56" w:customStyle="1">
    <w:name w:val="Grid Table 6 Colorful - Accent 2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57" w:customStyle="1">
    <w:name w:val="Grid Table 6 Colorful - Accent 3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58" w:customStyle="1">
    <w:name w:val="Grid Table 6 Colorful - Accent 4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59" w:customStyle="1">
    <w:name w:val="Grid Table 6 Colorful - Accent 5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0" w:customStyle="1">
    <w:name w:val="Grid Table 6 Colorful - Accent 6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1" w:customStyle="1">
    <w:name w:val="Grid Table 7 Colorful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2" w:customStyle="1">
    <w:name w:val="Grid Table 7 Colorful - Accent 1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3" w:customStyle="1">
    <w:name w:val="Grid Table 7 Colorful - Accent 2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4" w:customStyle="1">
    <w:name w:val="Grid Table 7 Colorful - Accent 3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5" w:customStyle="1">
    <w:name w:val="Grid Table 7 Colorful - Accent 4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6" w:customStyle="1">
    <w:name w:val="Grid Table 7 Colorful - Accent 5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7" w:customStyle="1">
    <w:name w:val="Grid Table 7 Colorful - Accent 6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8" w:customStyle="1">
    <w:name w:val="List Table 1 Light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1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2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1 Light - Accent 3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 - Accent 4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5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1 Light - Accent 6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List Table 2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1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2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78" w:customStyle="1">
    <w:name w:val="List Table 2 - Accent 3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79" w:customStyle="1">
    <w:name w:val="List Table 2 - Accent 4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5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81" w:customStyle="1">
    <w:name w:val="List Table 2 - Accent 6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82" w:customStyle="1">
    <w:name w:val="List Table 3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1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2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3 - Accent 3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3 - Accent 4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5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3 - Accent 6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1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2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 - Accent 3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 - Accent 4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5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4 - Accent 6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5 Dark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7" w:customStyle="1">
    <w:name w:val="List Table 5 Dark - Accent 1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 w:customStyle="1">
    <w:name w:val="List Table 5 Dark - Accent 2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9" w:customStyle="1">
    <w:name w:val="List Table 5 Dark - Accent 3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 w:customStyle="1">
    <w:name w:val="List Table 5 Dark - Accent 4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1" w:customStyle="1">
    <w:name w:val="List Table 5 Dark - Accent 5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2" w:customStyle="1">
    <w:name w:val="List Table 5 Dark - Accent 6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3" w:customStyle="1">
    <w:name w:val="List Table 6 Colorful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4" w:customStyle="1">
    <w:name w:val="List Table 6 Colorful - Accent 1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bottom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05" w:customStyle="1">
    <w:name w:val="List Table 6 Colorful - Accent 2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06" w:customStyle="1">
    <w:name w:val="List Table 6 Colorful - Accent 3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07" w:customStyle="1">
    <w:name w:val="List Table 6 Colorful - Accent 4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08" w:customStyle="1">
    <w:name w:val="List Table 6 Colorful - Accent 5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bottom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09" w:customStyle="1">
    <w:name w:val="List Table 6 Colorful - Accent 6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10" w:customStyle="1">
    <w:name w:val="List Table 7 Colorful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1" w:customStyle="1">
    <w:name w:val="List Table 7 Colorful - Accent 1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2" w:customStyle="1">
    <w:name w:val="List Table 7 Colorful - Accent 2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3" w:customStyle="1">
    <w:name w:val="List Table 7 Colorful - Accent 3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4" w:customStyle="1">
    <w:name w:val="List Table 7 Colorful - Accent 4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5" w:customStyle="1">
    <w:name w:val="List Table 7 Colorful - Accent 5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6" w:customStyle="1">
    <w:name w:val="List Table 7 Colorful - Accent 6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7" w:customStyle="1">
    <w:name w:val="Lined - Accent"/>
    <w:basedOn w:val="67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8" w:customStyle="1">
    <w:name w:val="Lined - Accent 1"/>
    <w:basedOn w:val="67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19" w:customStyle="1">
    <w:name w:val="Lined - Accent 2"/>
    <w:basedOn w:val="67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0" w:customStyle="1">
    <w:name w:val="Lined - Accent 3"/>
    <w:basedOn w:val="67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1" w:customStyle="1">
    <w:name w:val="Lined - Accent 4"/>
    <w:basedOn w:val="67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2" w:customStyle="1">
    <w:name w:val="Lined - Accent 5"/>
    <w:basedOn w:val="67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3" w:customStyle="1">
    <w:name w:val="Lined - Accent 6"/>
    <w:basedOn w:val="67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4" w:customStyle="1">
    <w:name w:val="Bordered &amp; Lined - Accent"/>
    <w:basedOn w:val="67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5" w:customStyle="1">
    <w:name w:val="Bordered &amp; Lined - Accent 1"/>
    <w:basedOn w:val="67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6" w:customStyle="1">
    <w:name w:val="Bordered &amp; Lined - Accent 2"/>
    <w:basedOn w:val="67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7" w:customStyle="1">
    <w:name w:val="Bordered &amp; Lined - Accent 3"/>
    <w:basedOn w:val="67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8" w:customStyle="1">
    <w:name w:val="Bordered &amp; Lined - Accent 4"/>
    <w:basedOn w:val="67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9" w:customStyle="1">
    <w:name w:val="Bordered &amp; Lined - Accent 5"/>
    <w:basedOn w:val="67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0" w:customStyle="1">
    <w:name w:val="Bordered &amp; Lined - Accent 6"/>
    <w:basedOn w:val="67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1" w:customStyle="1">
    <w:name w:val="Bordered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2" w:customStyle="1">
    <w:name w:val="Bordered - Accent 1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33" w:customStyle="1">
    <w:name w:val="Bordered - Accent 2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4" w:customStyle="1">
    <w:name w:val="Bordered - Accent 3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5" w:customStyle="1">
    <w:name w:val="Bordered - Accent 4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36" w:customStyle="1">
    <w:name w:val="Bordered - Accent 5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37" w:customStyle="1">
    <w:name w:val="Bordered - Accent 6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38">
    <w:name w:val="Hyperlink"/>
    <w:uiPriority w:val="99"/>
    <w:unhideWhenUsed/>
    <w:rPr>
      <w:color w:val="0563c1" w:themeColor="hyperlink"/>
      <w:u w:val="single"/>
    </w:rPr>
  </w:style>
  <w:style w:type="paragraph" w:styleId="839">
    <w:name w:val="footnote text"/>
    <w:basedOn w:val="659"/>
    <w:link w:val="840"/>
    <w:uiPriority w:val="99"/>
    <w:semiHidden/>
    <w:unhideWhenUsed/>
    <w:pPr>
      <w:spacing w:after="40"/>
    </w:pPr>
    <w:rPr>
      <w:sz w:val="18"/>
    </w:rPr>
  </w:style>
  <w:style w:type="character" w:styleId="840" w:customStyle="1">
    <w:name w:val="Текст сноски Знак"/>
    <w:link w:val="839"/>
    <w:uiPriority w:val="99"/>
    <w:rPr>
      <w:sz w:val="18"/>
    </w:rPr>
  </w:style>
  <w:style w:type="character" w:styleId="841">
    <w:name w:val="footnote reference"/>
    <w:basedOn w:val="669"/>
    <w:uiPriority w:val="99"/>
    <w:unhideWhenUsed/>
    <w:rPr>
      <w:vertAlign w:val="superscript"/>
    </w:rPr>
  </w:style>
  <w:style w:type="paragraph" w:styleId="842">
    <w:name w:val="endnote text"/>
    <w:basedOn w:val="659"/>
    <w:link w:val="843"/>
    <w:uiPriority w:val="99"/>
    <w:semiHidden/>
    <w:unhideWhenUsed/>
    <w:rPr>
      <w:sz w:val="20"/>
    </w:rPr>
  </w:style>
  <w:style w:type="character" w:styleId="843" w:customStyle="1">
    <w:name w:val="Текст концевой сноски Знак"/>
    <w:link w:val="842"/>
    <w:uiPriority w:val="99"/>
    <w:rPr>
      <w:sz w:val="20"/>
    </w:rPr>
  </w:style>
  <w:style w:type="character" w:styleId="844">
    <w:name w:val="endnote reference"/>
    <w:basedOn w:val="669"/>
    <w:uiPriority w:val="99"/>
    <w:semiHidden/>
    <w:unhideWhenUsed/>
    <w:rPr>
      <w:vertAlign w:val="superscript"/>
    </w:rPr>
  </w:style>
  <w:style w:type="paragraph" w:styleId="845">
    <w:name w:val="toc 1"/>
    <w:basedOn w:val="659"/>
    <w:next w:val="659"/>
    <w:uiPriority w:val="39"/>
    <w:unhideWhenUsed/>
    <w:pPr>
      <w:spacing w:after="57"/>
    </w:pPr>
  </w:style>
  <w:style w:type="paragraph" w:styleId="846">
    <w:name w:val="toc 2"/>
    <w:basedOn w:val="659"/>
    <w:next w:val="659"/>
    <w:uiPriority w:val="39"/>
    <w:unhideWhenUsed/>
    <w:pPr>
      <w:ind w:left="283"/>
      <w:spacing w:after="57"/>
    </w:pPr>
  </w:style>
  <w:style w:type="paragraph" w:styleId="847">
    <w:name w:val="toc 3"/>
    <w:basedOn w:val="659"/>
    <w:next w:val="659"/>
    <w:uiPriority w:val="39"/>
    <w:unhideWhenUsed/>
    <w:pPr>
      <w:ind w:left="567"/>
      <w:spacing w:after="57"/>
    </w:pPr>
  </w:style>
  <w:style w:type="paragraph" w:styleId="848">
    <w:name w:val="toc 4"/>
    <w:basedOn w:val="659"/>
    <w:next w:val="659"/>
    <w:uiPriority w:val="39"/>
    <w:unhideWhenUsed/>
    <w:pPr>
      <w:ind w:left="850"/>
      <w:spacing w:after="57"/>
    </w:pPr>
  </w:style>
  <w:style w:type="paragraph" w:styleId="849">
    <w:name w:val="toc 5"/>
    <w:basedOn w:val="659"/>
    <w:next w:val="659"/>
    <w:uiPriority w:val="39"/>
    <w:unhideWhenUsed/>
    <w:pPr>
      <w:ind w:left="1134"/>
      <w:spacing w:after="57"/>
    </w:pPr>
  </w:style>
  <w:style w:type="paragraph" w:styleId="850">
    <w:name w:val="toc 6"/>
    <w:basedOn w:val="659"/>
    <w:next w:val="659"/>
    <w:uiPriority w:val="39"/>
    <w:unhideWhenUsed/>
    <w:pPr>
      <w:ind w:left="1417"/>
      <w:spacing w:after="57"/>
    </w:pPr>
  </w:style>
  <w:style w:type="paragraph" w:styleId="851">
    <w:name w:val="toc 7"/>
    <w:basedOn w:val="659"/>
    <w:next w:val="659"/>
    <w:uiPriority w:val="39"/>
    <w:unhideWhenUsed/>
    <w:pPr>
      <w:ind w:left="1701"/>
      <w:spacing w:after="57"/>
    </w:pPr>
  </w:style>
  <w:style w:type="paragraph" w:styleId="852">
    <w:name w:val="toc 8"/>
    <w:basedOn w:val="659"/>
    <w:next w:val="659"/>
    <w:uiPriority w:val="39"/>
    <w:unhideWhenUsed/>
    <w:pPr>
      <w:ind w:left="1984"/>
      <w:spacing w:after="57"/>
    </w:pPr>
  </w:style>
  <w:style w:type="paragraph" w:styleId="853">
    <w:name w:val="toc 9"/>
    <w:basedOn w:val="659"/>
    <w:next w:val="659"/>
    <w:uiPriority w:val="39"/>
    <w:unhideWhenUsed/>
    <w:pPr>
      <w:ind w:left="2268"/>
      <w:spacing w:after="57"/>
    </w:pPr>
  </w:style>
  <w:style w:type="paragraph" w:styleId="854">
    <w:name w:val="TOC Heading"/>
    <w:uiPriority w:val="39"/>
    <w:unhideWhenUsed/>
  </w:style>
  <w:style w:type="paragraph" w:styleId="855">
    <w:name w:val="table of figures"/>
    <w:basedOn w:val="659"/>
    <w:next w:val="659"/>
    <w:uiPriority w:val="99"/>
    <w:unhideWhenUsed/>
  </w:style>
  <w:style w:type="character" w:styleId="856" w:customStyle="1">
    <w:name w:val="Заголовок 1 Знак"/>
    <w:basedOn w:val="669"/>
    <w:link w:val="660"/>
    <w:uiPriority w:val="99"/>
    <w:rPr>
      <w:rFonts w:ascii="Times New Roman" w:hAnsi="Times New Roman" w:eastAsia="Times New Roman" w:cs="Times New Roman"/>
      <w:b/>
      <w:bCs/>
      <w:color w:val="000000"/>
      <w:spacing w:val="-6"/>
      <w:shd w:val="clear" w:color="auto" w:fill="ffffff"/>
      <w:lang w:eastAsia="ru-RU"/>
    </w:rPr>
  </w:style>
  <w:style w:type="paragraph" w:styleId="857" w:customStyle="1">
    <w:name w:val="msonormal_mailru_css_attribute_postfix"/>
    <w:basedOn w:val="659"/>
    <w:pPr>
      <w:spacing w:before="100" w:beforeAutospacing="1" w:after="100" w:afterAutospacing="1"/>
    </w:pPr>
  </w:style>
  <w:style w:type="paragraph" w:styleId="858">
    <w:name w:val="Balloon Text"/>
    <w:basedOn w:val="659"/>
    <w:link w:val="859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59" w:customStyle="1">
    <w:name w:val="Текст выноски Знак"/>
    <w:basedOn w:val="669"/>
    <w:link w:val="858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paragraph" w:styleId="860">
    <w:name w:val="List Paragraph"/>
    <w:basedOn w:val="659"/>
    <w:uiPriority w:val="34"/>
    <w:qFormat/>
    <w:pPr>
      <w:contextualSpacing/>
      <w:ind w:left="720"/>
    </w:pPr>
  </w:style>
  <w:style w:type="character" w:styleId="861">
    <w:name w:val="annotation reference"/>
    <w:basedOn w:val="669"/>
    <w:uiPriority w:val="99"/>
    <w:semiHidden/>
    <w:unhideWhenUsed/>
    <w:rPr>
      <w:sz w:val="16"/>
      <w:szCs w:val="16"/>
    </w:rPr>
  </w:style>
  <w:style w:type="paragraph" w:styleId="862">
    <w:name w:val="annotation text"/>
    <w:basedOn w:val="659"/>
    <w:link w:val="863"/>
    <w:uiPriority w:val="99"/>
    <w:semiHidden/>
    <w:unhideWhenUsed/>
    <w:rPr>
      <w:sz w:val="20"/>
      <w:szCs w:val="20"/>
    </w:rPr>
  </w:style>
  <w:style w:type="character" w:styleId="863" w:customStyle="1">
    <w:name w:val="Текст примечания Знак"/>
    <w:basedOn w:val="669"/>
    <w:link w:val="862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864">
    <w:name w:val="annotation subject"/>
    <w:basedOn w:val="862"/>
    <w:next w:val="862"/>
    <w:link w:val="865"/>
    <w:uiPriority w:val="99"/>
    <w:semiHidden/>
    <w:unhideWhenUsed/>
    <w:rPr>
      <w:b/>
      <w:bCs/>
    </w:rPr>
  </w:style>
  <w:style w:type="character" w:styleId="865" w:customStyle="1">
    <w:name w:val="Тема примечания Знак"/>
    <w:basedOn w:val="863"/>
    <w:link w:val="864"/>
    <w:uiPriority w:val="99"/>
    <w:semiHidden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paragraph" w:styleId="866">
    <w:name w:val="Normal (Web)"/>
    <w:basedOn w:val="659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consultantplus://offline/ref=EF0589700282FFDB6E20886F6A586AB36B67AAAFC2B48ADB582214467E5F40FD04CB11166E15641946947BF7D75333B623AD4021CCD36814U4x9L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075FF2-523C-4919-8CC4-0443C3735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Кунаева Маргарита Викторовна</dc:creator>
  <cp:keywords/>
  <dc:description/>
  <cp:lastModifiedBy>u4800021</cp:lastModifiedBy>
  <cp:revision>14</cp:revision>
  <dcterms:created xsi:type="dcterms:W3CDTF">2025-05-06T13:34:00Z</dcterms:created>
  <dcterms:modified xsi:type="dcterms:W3CDTF">2026-05-19T13:14:29Z</dcterms:modified>
</cp:coreProperties>
</file>